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1A" w:rsidRDefault="00972D1A" w:rsidP="00972D1A">
      <w:pPr>
        <w:pStyle w:val="NormaleWeb"/>
        <w:shd w:val="clear" w:color="auto" w:fill="FFFFFF"/>
        <w:spacing w:line="384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Enfasicorsivo"/>
          <w:rFonts w:ascii="Arial" w:hAnsi="Arial" w:cs="Arial"/>
          <w:b/>
          <w:bCs/>
          <w:color w:val="444444"/>
          <w:sz w:val="18"/>
          <w:szCs w:val="18"/>
        </w:rPr>
        <w:t>TRIBUNALE DI PALERMO</w:t>
      </w:r>
    </w:p>
    <w:p w:rsidR="00972D1A" w:rsidRDefault="00972D1A" w:rsidP="00972D1A">
      <w:pPr>
        <w:pStyle w:val="NormaleWeb"/>
        <w:shd w:val="clear" w:color="auto" w:fill="FFFFFF"/>
        <w:spacing w:line="384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>SECONDA SEZIONE CIVILE</w:t>
      </w:r>
    </w:p>
    <w:p w:rsidR="00972D1A" w:rsidRDefault="00972D1A" w:rsidP="00972D1A">
      <w:pPr>
        <w:pStyle w:val="NormaleWeb"/>
        <w:shd w:val="clear" w:color="auto" w:fill="FFFFFF"/>
        <w:spacing w:line="384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Enfasicorsivo"/>
          <w:rFonts w:ascii="Arial" w:hAnsi="Arial" w:cs="Arial"/>
          <w:color w:val="444444"/>
          <w:sz w:val="18"/>
          <w:szCs w:val="18"/>
        </w:rPr>
        <w:t>Il Giudice,</w:t>
      </w:r>
    </w:p>
    <w:p w:rsidR="00972D1A" w:rsidRDefault="00972D1A" w:rsidP="00972D1A">
      <w:pPr>
        <w:pStyle w:val="NormaleWeb"/>
        <w:shd w:val="clear" w:color="auto" w:fill="FFFFFF"/>
        <w:spacing w:line="384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Enfasicorsivo"/>
          <w:rFonts w:ascii="Arial" w:hAnsi="Arial" w:cs="Arial"/>
          <w:color w:val="444444"/>
          <w:sz w:val="18"/>
          <w:szCs w:val="18"/>
        </w:rPr>
        <w:t>sciogliendo la riserva assunta all’udienza del 17.3.2015;</w:t>
      </w:r>
    </w:p>
    <w:p w:rsidR="00972D1A" w:rsidRDefault="00972D1A" w:rsidP="00972D1A">
      <w:pPr>
        <w:pStyle w:val="NormaleWeb"/>
        <w:shd w:val="clear" w:color="auto" w:fill="FFFFFF"/>
        <w:spacing w:line="384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Enfasicorsivo"/>
          <w:rFonts w:ascii="Arial" w:hAnsi="Arial" w:cs="Arial"/>
          <w:color w:val="444444"/>
          <w:sz w:val="18"/>
          <w:szCs w:val="18"/>
        </w:rPr>
        <w:t>visto il comma 1 bis dell’art. 5 del Decreto Legislativo 4/3/2010, N. 28 in materia di mediazione finalizzata alla conciliazione delle controversie civili e commerciali, così come modificato dal D.L. 21 giugno 2013, n. 69, convertito, con modificazioni, dalla L. 9 agosto 2013, n. 98.;</w:t>
      </w:r>
    </w:p>
    <w:p w:rsidR="00972D1A" w:rsidRDefault="00972D1A" w:rsidP="00972D1A">
      <w:pPr>
        <w:pStyle w:val="NormaleWeb"/>
        <w:shd w:val="clear" w:color="auto" w:fill="FFFFFF"/>
        <w:spacing w:line="384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>vista la mancata comparizione personale senza giustificato motivo di entrambe le parti davanti all’organismo di mediazione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>;</w:t>
      </w:r>
    </w:p>
    <w:p w:rsidR="00972D1A" w:rsidRDefault="00972D1A" w:rsidP="00972D1A">
      <w:pPr>
        <w:pStyle w:val="NormaleWeb"/>
        <w:shd w:val="clear" w:color="auto" w:fill="FFFFFF"/>
        <w:spacing w:line="384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ritenuto che, in tali casi, oltre alle conseguenze in termini probatori e sanzionatori derivanti dall’art. 8, comma IV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bis, della summenzionata legge, 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>la condizione di procedibilità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 xml:space="preserve">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>fissata dall’art. 5, com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ma II bis, della suddetta legge 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>è da ritenersi non maturata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>, atteso che, in conformità alla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>ratio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>ispiratrice di quest’ultima,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>il tentativo di mediazione davanti al surriferito organismo deve essere effettivo e non meramente formale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(cfr. Tribunale di Firenze, sezione II civile, 19.3.14; Tribunale di Firenze, sezione speciale impresa, 17.3.14; Tribunale di Palermo, sezione I, ordinanza del16.7.14; Tribunale di Roma, XIII sezione civile, giudice </w:t>
      </w:r>
      <w:proofErr w:type="spellStart"/>
      <w:r>
        <w:rPr>
          <w:rStyle w:val="Enfasicorsivo"/>
          <w:rFonts w:ascii="Arial" w:hAnsi="Arial" w:cs="Arial"/>
          <w:color w:val="444444"/>
          <w:sz w:val="18"/>
          <w:szCs w:val="18"/>
        </w:rPr>
        <w:t>Moriconi</w:t>
      </w:r>
      <w:proofErr w:type="spellEnd"/>
      <w:r>
        <w:rPr>
          <w:rStyle w:val="Enfasicorsivo"/>
          <w:rFonts w:ascii="Arial" w:hAnsi="Arial" w:cs="Arial"/>
          <w:color w:val="444444"/>
          <w:sz w:val="18"/>
          <w:szCs w:val="18"/>
        </w:rPr>
        <w:t>; nonché, avuto riguardo in special modo alla mediazione obbligatoria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ex </w:t>
      </w:r>
      <w:proofErr w:type="spellStart"/>
      <w:r>
        <w:rPr>
          <w:rStyle w:val="Enfasicorsivo"/>
          <w:rFonts w:ascii="Arial" w:hAnsi="Arial" w:cs="Arial"/>
          <w:color w:val="444444"/>
          <w:sz w:val="18"/>
          <w:szCs w:val="18"/>
        </w:rPr>
        <w:t>lege</w:t>
      </w:r>
      <w:proofErr w:type="spellEnd"/>
      <w:r>
        <w:rPr>
          <w:rStyle w:val="Enfasicorsivo"/>
          <w:rFonts w:ascii="Arial" w:hAnsi="Arial" w:cs="Arial"/>
          <w:color w:val="444444"/>
          <w:sz w:val="18"/>
          <w:szCs w:val="18"/>
        </w:rPr>
        <w:t>,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Tribunale di Firenze, ordinanza del 26.11.14, est. </w:t>
      </w:r>
      <w:proofErr w:type="spellStart"/>
      <w:r>
        <w:rPr>
          <w:rStyle w:val="Enfasicorsivo"/>
          <w:rFonts w:ascii="Arial" w:hAnsi="Arial" w:cs="Arial"/>
          <w:color w:val="444444"/>
          <w:sz w:val="18"/>
          <w:szCs w:val="18"/>
        </w:rPr>
        <w:t>Breggia</w:t>
      </w:r>
      <w:proofErr w:type="spellEnd"/>
      <w:r>
        <w:rPr>
          <w:rStyle w:val="Enfasicorsivo"/>
          <w:rFonts w:ascii="Arial" w:hAnsi="Arial" w:cs="Arial"/>
          <w:color w:val="444444"/>
          <w:sz w:val="18"/>
          <w:szCs w:val="18"/>
        </w:rPr>
        <w:t>);</w:t>
      </w:r>
    </w:p>
    <w:p w:rsidR="00972D1A" w:rsidRDefault="00972D1A" w:rsidP="00972D1A">
      <w:pPr>
        <w:pStyle w:val="NormaleWeb"/>
        <w:shd w:val="clear" w:color="auto" w:fill="FFFFFF"/>
        <w:spacing w:line="384" w:lineRule="atLeast"/>
        <w:jc w:val="center"/>
        <w:rPr>
          <w:rFonts w:ascii="Arial" w:hAnsi="Arial" w:cs="Arial"/>
          <w:color w:val="444444"/>
          <w:sz w:val="18"/>
          <w:szCs w:val="18"/>
        </w:rPr>
      </w:pP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>P.Q.M.</w:t>
      </w:r>
    </w:p>
    <w:p w:rsidR="00972D1A" w:rsidRDefault="00972D1A" w:rsidP="00972D1A">
      <w:pPr>
        <w:pStyle w:val="NormaleWeb"/>
        <w:shd w:val="clear" w:color="auto" w:fill="FFFFFF"/>
        <w:spacing w:line="384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Enfasicorsivo"/>
          <w:rFonts w:ascii="Arial" w:hAnsi="Arial" w:cs="Arial"/>
          <w:color w:val="444444"/>
          <w:sz w:val="18"/>
          <w:szCs w:val="18"/>
        </w:rPr>
        <w:t>dispone l’esperimento del procedimento di mediazione;</w:t>
      </w:r>
    </w:p>
    <w:p w:rsidR="00972D1A" w:rsidRDefault="00972D1A" w:rsidP="00972D1A">
      <w:pPr>
        <w:pStyle w:val="NormaleWeb"/>
        <w:shd w:val="clear" w:color="auto" w:fill="FFFFFF"/>
        <w:spacing w:line="384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Enfasicorsivo"/>
          <w:rFonts w:ascii="Arial" w:hAnsi="Arial" w:cs="Arial"/>
          <w:color w:val="444444"/>
          <w:sz w:val="18"/>
          <w:szCs w:val="18"/>
        </w:rPr>
        <w:t>assegna alle parti il termine di quindici giorni per la presentazione della domanda di mediazione c rinvia per la verifica degli esiti del suddetto procedimen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>to all’udienza del 13.7.15, h.10</w:t>
      </w:r>
      <w:bookmarkStart w:id="0" w:name="_GoBack"/>
      <w:bookmarkEnd w:id="0"/>
      <w:r>
        <w:rPr>
          <w:rStyle w:val="Enfasicorsivo"/>
          <w:rFonts w:ascii="Arial" w:hAnsi="Arial" w:cs="Arial"/>
          <w:color w:val="444444"/>
          <w:sz w:val="18"/>
          <w:szCs w:val="18"/>
        </w:rPr>
        <w:t>, con invito alle parti ad:</w:t>
      </w:r>
    </w:p>
    <w:p w:rsidR="00972D1A" w:rsidRDefault="00972D1A" w:rsidP="00972D1A">
      <w:pPr>
        <w:pStyle w:val="NormaleWeb"/>
        <w:shd w:val="clear" w:color="auto" w:fill="FFFFFF"/>
        <w:spacing w:line="384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>1)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 xml:space="preserve"> 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>inviare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 xml:space="preserve"> 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>(in formato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 xml:space="preserve"> 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>Word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 xml:space="preserve">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>e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>senza i corrispettivi allegati) tutti gli scritti difensivi già deposit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ati o </w:t>
      </w:r>
      <w:proofErr w:type="spellStart"/>
      <w:r>
        <w:rPr>
          <w:rStyle w:val="Enfasicorsivo"/>
          <w:rFonts w:ascii="Arial" w:hAnsi="Arial" w:cs="Arial"/>
          <w:color w:val="444444"/>
          <w:sz w:val="18"/>
          <w:szCs w:val="18"/>
        </w:rPr>
        <w:t>depositandi</w:t>
      </w:r>
      <w:proofErr w:type="spellEnd"/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 all’indirizzo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>email….(avendo cura di specificare nell’oggetto il numero di ruolo e le parti del procedimento);</w:t>
      </w:r>
    </w:p>
    <w:p w:rsidR="00972D1A" w:rsidRDefault="00972D1A" w:rsidP="00972D1A">
      <w:pPr>
        <w:pStyle w:val="NormaleWeb"/>
        <w:shd w:val="clear" w:color="auto" w:fill="FFFFFF"/>
        <w:spacing w:line="384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 xml:space="preserve">2) depositare informalmente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(anche in udienza) 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>una copia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 xml:space="preserve"> 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>di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 xml:space="preserve"> 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>cortesia</w:t>
      </w:r>
      <w:r>
        <w:rPr>
          <w:rStyle w:val="Enfasigrassetto"/>
          <w:rFonts w:ascii="Arial" w:hAnsi="Arial" w:cs="Arial"/>
          <w:i/>
          <w:iCs/>
          <w:color w:val="444444"/>
          <w:sz w:val="18"/>
          <w:szCs w:val="18"/>
        </w:rPr>
        <w:t xml:space="preserve"> cartacea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>dei suddetti scritti difensivi destinata al giudice (raccogliendo le suddette copie senza allegati in un apposito sotto fascicolo – basterà un qualunque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 xml:space="preserve"> foglio protocollo- con scritto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>“Copie degli atti di parte per il giudice”);</w:t>
      </w:r>
    </w:p>
    <w:p w:rsidR="00972D1A" w:rsidRDefault="00972D1A" w:rsidP="00972D1A">
      <w:pPr>
        <w:pStyle w:val="NormaleWeb"/>
        <w:shd w:val="clear" w:color="auto" w:fill="FFFFFF"/>
        <w:spacing w:line="384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Enfasicorsivo"/>
          <w:rFonts w:ascii="Arial" w:hAnsi="Arial" w:cs="Arial"/>
          <w:color w:val="444444"/>
          <w:sz w:val="18"/>
          <w:szCs w:val="18"/>
        </w:rPr>
        <w:t>Manda alla cancelleria per le comunicazioni alle parti.</w:t>
      </w:r>
    </w:p>
    <w:p w:rsidR="00972D1A" w:rsidRDefault="00972D1A" w:rsidP="00972D1A">
      <w:pPr>
        <w:pStyle w:val="NormaleWeb"/>
        <w:shd w:val="clear" w:color="auto" w:fill="FFFFFF"/>
        <w:spacing w:line="384" w:lineRule="atLeast"/>
        <w:jc w:val="both"/>
        <w:rPr>
          <w:rFonts w:ascii="Arial" w:hAnsi="Arial" w:cs="Arial"/>
          <w:color w:val="444444"/>
          <w:sz w:val="18"/>
          <w:szCs w:val="18"/>
        </w:rPr>
      </w:pPr>
      <w:r>
        <w:rPr>
          <w:rStyle w:val="Enfasicorsivo"/>
          <w:rFonts w:ascii="Arial" w:hAnsi="Arial" w:cs="Arial"/>
          <w:color w:val="444444"/>
          <w:sz w:val="18"/>
          <w:szCs w:val="18"/>
        </w:rPr>
        <w:t>Così deciso in Palermo, 17/03/2015 .</w:t>
      </w:r>
    </w:p>
    <w:p w:rsidR="00592971" w:rsidRDefault="00972D1A" w:rsidP="00972D1A">
      <w:pPr>
        <w:pStyle w:val="NormaleWeb"/>
        <w:shd w:val="clear" w:color="auto" w:fill="FFFFFF"/>
        <w:spacing w:line="384" w:lineRule="atLeast"/>
        <w:jc w:val="both"/>
      </w:pPr>
      <w:r>
        <w:rPr>
          <w:rStyle w:val="Enfasicorsivo"/>
          <w:rFonts w:ascii="Arial" w:hAnsi="Arial" w:cs="Arial"/>
          <w:color w:val="444444"/>
          <w:sz w:val="18"/>
          <w:szCs w:val="18"/>
        </w:rPr>
        <w:t>il Giudice</w:t>
      </w:r>
      <w:r>
        <w:rPr>
          <w:rFonts w:ascii="Arial" w:hAnsi="Arial" w:cs="Arial"/>
          <w:color w:val="444444"/>
          <w:sz w:val="18"/>
          <w:szCs w:val="18"/>
        </w:rPr>
        <w:t xml:space="preserve">  </w:t>
      </w:r>
      <w:r>
        <w:rPr>
          <w:rStyle w:val="Enfasicorsivo"/>
          <w:rFonts w:ascii="Arial" w:hAnsi="Arial" w:cs="Arial"/>
          <w:color w:val="444444"/>
          <w:sz w:val="18"/>
          <w:szCs w:val="18"/>
        </w:rPr>
        <w:t>Gigi Omar Modica</w:t>
      </w:r>
    </w:p>
    <w:sectPr w:rsidR="005929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1A"/>
    <w:rsid w:val="00592971"/>
    <w:rsid w:val="0097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72D1A"/>
    <w:rPr>
      <w:i/>
      <w:iCs/>
    </w:rPr>
  </w:style>
  <w:style w:type="character" w:styleId="Enfasigrassetto">
    <w:name w:val="Strong"/>
    <w:basedOn w:val="Carpredefinitoparagrafo"/>
    <w:uiPriority w:val="22"/>
    <w:qFormat/>
    <w:rsid w:val="00972D1A"/>
    <w:rPr>
      <w:b/>
      <w:bCs/>
    </w:rPr>
  </w:style>
  <w:style w:type="paragraph" w:styleId="NormaleWeb">
    <w:name w:val="Normal (Web)"/>
    <w:basedOn w:val="Normale"/>
    <w:uiPriority w:val="99"/>
    <w:unhideWhenUsed/>
    <w:rsid w:val="00972D1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972D1A"/>
    <w:rPr>
      <w:i/>
      <w:iCs/>
    </w:rPr>
  </w:style>
  <w:style w:type="character" w:styleId="Enfasigrassetto">
    <w:name w:val="Strong"/>
    <w:basedOn w:val="Carpredefinitoparagrafo"/>
    <w:uiPriority w:val="22"/>
    <w:qFormat/>
    <w:rsid w:val="00972D1A"/>
    <w:rPr>
      <w:b/>
      <w:bCs/>
    </w:rPr>
  </w:style>
  <w:style w:type="paragraph" w:styleId="NormaleWeb">
    <w:name w:val="Normal (Web)"/>
    <w:basedOn w:val="Normale"/>
    <w:uiPriority w:val="99"/>
    <w:unhideWhenUsed/>
    <w:rsid w:val="00972D1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721746">
      <w:bodyDiv w:val="1"/>
      <w:marLeft w:val="0"/>
      <w:marRight w:val="0"/>
      <w:marTop w:val="450"/>
      <w:marBottom w:val="4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046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2015-03-21T22:26:00Z</dcterms:created>
  <dcterms:modified xsi:type="dcterms:W3CDTF">2015-03-21T22:32:00Z</dcterms:modified>
</cp:coreProperties>
</file>